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9BA" w:rsidRDefault="0054210D" w:rsidP="0054210D">
      <w:pPr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GoBack"/>
      <w:r w:rsidRPr="0054210D">
        <w:rPr>
          <w:rFonts w:ascii="Tahoma" w:hAnsi="Tahoma" w:cs="Tahoma"/>
          <w:b/>
          <w:bCs/>
          <w:sz w:val="24"/>
          <w:szCs w:val="24"/>
          <w:cs/>
        </w:rPr>
        <w:t xml:space="preserve">เอสซีจี รับรางวัล </w:t>
      </w:r>
      <w:r w:rsidRPr="0054210D">
        <w:rPr>
          <w:rFonts w:ascii="Tahoma" w:hAnsi="Tahoma" w:cs="Tahoma"/>
          <w:b/>
          <w:bCs/>
          <w:sz w:val="24"/>
          <w:szCs w:val="24"/>
        </w:rPr>
        <w:t xml:space="preserve">2 </w:t>
      </w:r>
      <w:r w:rsidRPr="0054210D">
        <w:rPr>
          <w:rFonts w:ascii="Tahoma" w:hAnsi="Tahoma" w:cs="Tahoma"/>
          <w:b/>
          <w:bCs/>
          <w:sz w:val="24"/>
          <w:szCs w:val="24"/>
          <w:cs/>
        </w:rPr>
        <w:t>รางวัล “</w:t>
      </w:r>
      <w:r w:rsidRPr="0054210D">
        <w:rPr>
          <w:rFonts w:ascii="Tahoma" w:hAnsi="Tahoma" w:cs="Tahoma"/>
          <w:b/>
          <w:bCs/>
          <w:sz w:val="24"/>
          <w:szCs w:val="24"/>
        </w:rPr>
        <w:t xml:space="preserve">SET Awards 2022” </w:t>
      </w:r>
      <w:bookmarkEnd w:id="0"/>
      <w:r w:rsidRPr="0054210D">
        <w:rPr>
          <w:rFonts w:ascii="Tahoma" w:hAnsi="Tahoma" w:cs="Tahoma"/>
          <w:b/>
          <w:bCs/>
          <w:sz w:val="24"/>
          <w:szCs w:val="24"/>
          <w:cs/>
        </w:rPr>
        <w:t xml:space="preserve">ต้นแบบองค์กรที่ยั่งยืน และความเป็นเลิศทางธุรกิจ ตามกลยุทธ์ </w:t>
      </w:r>
      <w:r w:rsidRPr="0054210D">
        <w:rPr>
          <w:rFonts w:ascii="Tahoma" w:hAnsi="Tahoma" w:cs="Tahoma"/>
          <w:b/>
          <w:bCs/>
          <w:sz w:val="24"/>
          <w:szCs w:val="24"/>
        </w:rPr>
        <w:t>ESG 4 Plus</w:t>
      </w:r>
    </w:p>
    <w:p w:rsidR="0054210D" w:rsidRDefault="0054210D" w:rsidP="002009BA">
      <w:pPr>
        <w:rPr>
          <w:rFonts w:ascii="Tahoma" w:hAnsi="Tahoma" w:cs="Tahoma"/>
          <w:sz w:val="24"/>
          <w:szCs w:val="24"/>
        </w:rPr>
      </w:pPr>
    </w:p>
    <w:p w:rsidR="0054210D" w:rsidRPr="0054210D" w:rsidRDefault="0054210D" w:rsidP="0054210D">
      <w:pPr>
        <w:rPr>
          <w:rFonts w:ascii="Tahoma" w:hAnsi="Tahoma" w:cs="Tahoma"/>
          <w:sz w:val="24"/>
          <w:szCs w:val="24"/>
        </w:rPr>
      </w:pPr>
      <w:r w:rsidRPr="0054210D">
        <w:rPr>
          <w:rFonts w:ascii="Tahoma" w:hAnsi="Tahoma" w:cs="Tahoma"/>
          <w:sz w:val="24"/>
          <w:szCs w:val="24"/>
          <w:cs/>
        </w:rPr>
        <w:t xml:space="preserve">เอสซีจี โดย คุณยุทธนา เจียมตระการ ผู้ช่วยผู้จัดการใหญ่–การบริหารกลาง เอสซีจี  คุณณรงค์พันธุ์ </w:t>
      </w:r>
      <w:proofErr w:type="spellStart"/>
      <w:r w:rsidRPr="0054210D">
        <w:rPr>
          <w:rFonts w:ascii="Tahoma" w:hAnsi="Tahoma" w:cs="Tahoma"/>
          <w:sz w:val="24"/>
          <w:szCs w:val="24"/>
          <w:cs/>
        </w:rPr>
        <w:t>ลีส</w:t>
      </w:r>
      <w:proofErr w:type="spellEnd"/>
      <w:r w:rsidRPr="0054210D">
        <w:rPr>
          <w:rFonts w:ascii="Tahoma" w:hAnsi="Tahoma" w:cs="Tahoma"/>
          <w:sz w:val="24"/>
          <w:szCs w:val="24"/>
          <w:cs/>
        </w:rPr>
        <w:t xml:space="preserve">หะปัญญา </w:t>
      </w:r>
      <w:r w:rsidRPr="0054210D">
        <w:rPr>
          <w:rFonts w:ascii="Tahoma" w:hAnsi="Tahoma" w:cs="Tahoma"/>
          <w:sz w:val="24"/>
          <w:szCs w:val="24"/>
        </w:rPr>
        <w:t xml:space="preserve">Investor Relations Director  </w:t>
      </w:r>
      <w:r w:rsidRPr="0054210D">
        <w:rPr>
          <w:rFonts w:ascii="Tahoma" w:hAnsi="Tahoma" w:cs="Tahoma"/>
          <w:sz w:val="24"/>
          <w:szCs w:val="24"/>
          <w:cs/>
        </w:rPr>
        <w:t xml:space="preserve">คุณวีนัส  อัศวสิทธิถาวร  ผู้อำนวยการสำนักงาน </w:t>
      </w:r>
      <w:r w:rsidRPr="0054210D">
        <w:rPr>
          <w:rFonts w:ascii="Tahoma" w:hAnsi="Tahoma" w:cs="Tahoma"/>
          <w:sz w:val="24"/>
          <w:szCs w:val="24"/>
        </w:rPr>
        <w:t xml:space="preserve">Enterprise Brand Management </w:t>
      </w:r>
      <w:r w:rsidRPr="0054210D">
        <w:rPr>
          <w:rFonts w:ascii="Tahoma" w:hAnsi="Tahoma" w:cs="Tahoma"/>
          <w:sz w:val="24"/>
          <w:szCs w:val="24"/>
          <w:cs/>
        </w:rPr>
        <w:t>รับรางวัล  “</w:t>
      </w:r>
      <w:r w:rsidRPr="0054210D">
        <w:rPr>
          <w:rFonts w:ascii="Tahoma" w:hAnsi="Tahoma" w:cs="Tahoma"/>
          <w:sz w:val="24"/>
          <w:szCs w:val="24"/>
        </w:rPr>
        <w:t xml:space="preserve">SET Awards </w:t>
      </w:r>
      <w:r w:rsidRPr="0054210D">
        <w:rPr>
          <w:rFonts w:ascii="Tahoma" w:hAnsi="Tahoma" w:cs="Tahoma"/>
          <w:sz w:val="24"/>
          <w:szCs w:val="24"/>
          <w:cs/>
        </w:rPr>
        <w:t>2022” จากตลาดหลักทรัพย์แห่งประเทศไทย  รวม 2 ประเภทรางวัล ได้แก่ รางวัลเกียรติยศบริษัทจดทะเบียนด้านความยั่งยืน (</w:t>
      </w:r>
      <w:r w:rsidRPr="0054210D">
        <w:rPr>
          <w:rFonts w:ascii="Tahoma" w:hAnsi="Tahoma" w:cs="Tahoma"/>
          <w:sz w:val="24"/>
          <w:szCs w:val="24"/>
        </w:rPr>
        <w:t xml:space="preserve">Sustainability Awards of Honor) </w:t>
      </w:r>
      <w:r w:rsidRPr="0054210D">
        <w:rPr>
          <w:rFonts w:ascii="Tahoma" w:hAnsi="Tahoma" w:cs="Tahoma"/>
          <w:sz w:val="24"/>
          <w:szCs w:val="24"/>
          <w:cs/>
        </w:rPr>
        <w:t xml:space="preserve">ต่อเนื่องเป็นปีที่ 5 จากการดำเนินธุรกิจตามแนวทางการพัฒนาอย่างยั่งยืนโดยคำนึงถึงความรับผิดชอบต่อผู้มีส่วนได้เสีย นำเรื่อง </w:t>
      </w:r>
      <w:r w:rsidRPr="0054210D">
        <w:rPr>
          <w:rFonts w:ascii="Tahoma" w:hAnsi="Tahoma" w:cs="Tahoma"/>
          <w:sz w:val="24"/>
          <w:szCs w:val="24"/>
        </w:rPr>
        <w:t xml:space="preserve">ESG (Environmental, Social and Governance) </w:t>
      </w:r>
      <w:r w:rsidRPr="0054210D">
        <w:rPr>
          <w:rFonts w:ascii="Tahoma" w:hAnsi="Tahoma" w:cs="Tahoma"/>
          <w:sz w:val="24"/>
          <w:szCs w:val="24"/>
          <w:cs/>
        </w:rPr>
        <w:t xml:space="preserve">ไปใช้พัฒนาธุรกิจสู่ความยั่งยืนอย่างมีประสิทธิภาพ และรักษาความโดดเด่นด้านต่าง ๆ ตั้งแต่ 3 ปีขึ้นไป และรางวัล </w:t>
      </w:r>
      <w:r w:rsidRPr="0054210D">
        <w:rPr>
          <w:rFonts w:ascii="Tahoma" w:hAnsi="Tahoma" w:cs="Tahoma"/>
          <w:sz w:val="24"/>
          <w:szCs w:val="24"/>
        </w:rPr>
        <w:t xml:space="preserve">Outstanding Investor Relations Awards </w:t>
      </w:r>
      <w:r w:rsidRPr="0054210D">
        <w:rPr>
          <w:rFonts w:ascii="Tahoma" w:hAnsi="Tahoma" w:cs="Tahoma"/>
          <w:sz w:val="24"/>
          <w:szCs w:val="24"/>
          <w:cs/>
        </w:rPr>
        <w:t>ซึ่งมอบให้บริษัทจดทะเบียนที่มีความโดดเด่น ด้านการดำเนินกิจกรรมนักลงทุนสัมพันธ์ ทั้งการพัฒนาศักยภาพการให้ข้อมูลธุรกิจที่มีคุณภาพ เป็นประโยชน์ และการพัฒนาประสิทธิภาพช่องทางการสื่อสารแก่นักวิเคราะห์ นักลงทุน และผู้ถือหุ้น</w:t>
      </w:r>
    </w:p>
    <w:p w:rsidR="002009BA" w:rsidRDefault="0054210D" w:rsidP="0054210D">
      <w:pPr>
        <w:rPr>
          <w:rFonts w:ascii="Tahoma" w:hAnsi="Tahoma" w:cs="Tahoma"/>
          <w:sz w:val="24"/>
          <w:szCs w:val="24"/>
        </w:rPr>
      </w:pPr>
      <w:r w:rsidRPr="0054210D">
        <w:rPr>
          <w:rFonts w:ascii="Tahoma" w:hAnsi="Tahoma" w:cs="Tahoma"/>
          <w:sz w:val="24"/>
          <w:szCs w:val="24"/>
          <w:cs/>
        </w:rPr>
        <w:t xml:space="preserve">รางวัลดังกล่าวมาจากความมุ่งมั่นดำเนินธุรกิจตามกลยุทธ์ </w:t>
      </w:r>
      <w:r w:rsidRPr="0054210D">
        <w:rPr>
          <w:rFonts w:ascii="Tahoma" w:hAnsi="Tahoma" w:cs="Tahoma"/>
          <w:sz w:val="24"/>
          <w:szCs w:val="24"/>
        </w:rPr>
        <w:t xml:space="preserve">ESG </w:t>
      </w:r>
      <w:r w:rsidRPr="0054210D">
        <w:rPr>
          <w:rFonts w:ascii="Tahoma" w:hAnsi="Tahoma" w:cs="Tahoma"/>
          <w:sz w:val="24"/>
          <w:szCs w:val="24"/>
          <w:cs/>
        </w:rPr>
        <w:t xml:space="preserve">4 </w:t>
      </w:r>
      <w:r w:rsidRPr="0054210D">
        <w:rPr>
          <w:rFonts w:ascii="Tahoma" w:hAnsi="Tahoma" w:cs="Tahoma"/>
          <w:sz w:val="24"/>
          <w:szCs w:val="24"/>
        </w:rPr>
        <w:t>Plus “</w:t>
      </w:r>
      <w:r w:rsidRPr="0054210D">
        <w:rPr>
          <w:rFonts w:ascii="Tahoma" w:hAnsi="Tahoma" w:cs="Tahoma"/>
          <w:sz w:val="24"/>
          <w:szCs w:val="24"/>
          <w:cs/>
        </w:rPr>
        <w:t xml:space="preserve">มุ่ง </w:t>
      </w:r>
      <w:r w:rsidRPr="0054210D">
        <w:rPr>
          <w:rFonts w:ascii="Tahoma" w:hAnsi="Tahoma" w:cs="Tahoma"/>
          <w:sz w:val="24"/>
          <w:szCs w:val="24"/>
        </w:rPr>
        <w:t xml:space="preserve">Net Zero–Go Green–Lean </w:t>
      </w:r>
      <w:r w:rsidRPr="0054210D">
        <w:rPr>
          <w:rFonts w:ascii="Tahoma" w:hAnsi="Tahoma" w:cs="Tahoma"/>
          <w:sz w:val="24"/>
          <w:szCs w:val="24"/>
          <w:cs/>
        </w:rPr>
        <w:t>เหลื่อมล้ำ–ย้ำร่วมมือ” โดยยึดหลักเชื่อมั่นและโปร่งใส  ตั้งเป้าหมายลดการปล่อยก๊าซเรือนกระจกสุทธิเป็นศูนย์ภายในปี 2593  ขณะเดียวกันเร่งพัฒนานวัตกรรมเพื่อตอบสนองความต้องการของลูกค้าอย่างทันท่วงที  โดยจะมุ่งเข้าสู่ 3 ธุรกิจใหม่ที่มีศักยภาพสูงและตอบโจทย์เมกะเทรนด์โลก ได้แก่  ธุรกิจพลังงานหมุนเวียน (</w:t>
      </w:r>
      <w:r w:rsidRPr="0054210D">
        <w:rPr>
          <w:rFonts w:ascii="Tahoma" w:hAnsi="Tahoma" w:cs="Tahoma"/>
          <w:sz w:val="24"/>
          <w:szCs w:val="24"/>
        </w:rPr>
        <w:t xml:space="preserve">Renewable Energy) </w:t>
      </w:r>
      <w:r w:rsidRPr="0054210D">
        <w:rPr>
          <w:rFonts w:ascii="Tahoma" w:hAnsi="Tahoma" w:cs="Tahoma"/>
          <w:sz w:val="24"/>
          <w:szCs w:val="24"/>
          <w:cs/>
        </w:rPr>
        <w:t>มุ่งลดต้นทุน เร่งพัฒนาพลังงานทดแทน โดยใช้พลังงานชีวมวล (</w:t>
      </w:r>
      <w:r w:rsidRPr="0054210D">
        <w:rPr>
          <w:rFonts w:ascii="Tahoma" w:hAnsi="Tahoma" w:cs="Tahoma"/>
          <w:sz w:val="24"/>
          <w:szCs w:val="24"/>
        </w:rPr>
        <w:t xml:space="preserve">Biomass) </w:t>
      </w:r>
      <w:r w:rsidRPr="0054210D">
        <w:rPr>
          <w:rFonts w:ascii="Tahoma" w:hAnsi="Tahoma" w:cs="Tahoma"/>
          <w:sz w:val="24"/>
          <w:szCs w:val="24"/>
          <w:cs/>
        </w:rPr>
        <w:t>จากวัสดุเหลือใช้ทางการเกษตร และเชื้อเพลิงจากขยะ (</w:t>
      </w:r>
      <w:r w:rsidRPr="0054210D">
        <w:rPr>
          <w:rFonts w:ascii="Tahoma" w:hAnsi="Tahoma" w:cs="Tahoma"/>
          <w:sz w:val="24"/>
          <w:szCs w:val="24"/>
        </w:rPr>
        <w:t xml:space="preserve">Refused Derived Fuel : RDF) </w:t>
      </w:r>
      <w:r w:rsidRPr="0054210D">
        <w:rPr>
          <w:rFonts w:ascii="Tahoma" w:hAnsi="Tahoma" w:cs="Tahoma"/>
          <w:sz w:val="24"/>
          <w:szCs w:val="24"/>
          <w:cs/>
        </w:rPr>
        <w:t>ทดแทนพลังงาน</w:t>
      </w:r>
      <w:proofErr w:type="spellStart"/>
      <w:r w:rsidRPr="0054210D">
        <w:rPr>
          <w:rFonts w:ascii="Tahoma" w:hAnsi="Tahoma" w:cs="Tahoma"/>
          <w:sz w:val="24"/>
          <w:szCs w:val="24"/>
          <w:cs/>
        </w:rPr>
        <w:t>ฟอสซิล</w:t>
      </w:r>
      <w:proofErr w:type="spellEnd"/>
      <w:r w:rsidRPr="0054210D">
        <w:rPr>
          <w:rFonts w:ascii="Tahoma" w:hAnsi="Tahoma" w:cs="Tahoma"/>
          <w:sz w:val="24"/>
          <w:szCs w:val="24"/>
          <w:cs/>
        </w:rPr>
        <w:t xml:space="preserve"> ทั้งยังต่อยอดเป็นธุรกิจพลังงานแสงอาทิตย์ครบวงจรสำหรับตลาดที่อยู่อาศัย โรงงานและนิคมอุตสาหกรรม ได้แก่ </w:t>
      </w:r>
      <w:r w:rsidRPr="0054210D">
        <w:rPr>
          <w:rFonts w:ascii="Tahoma" w:hAnsi="Tahoma" w:cs="Tahoma"/>
          <w:sz w:val="24"/>
          <w:szCs w:val="24"/>
        </w:rPr>
        <w:t xml:space="preserve">SCG Solar Roof Solutions </w:t>
      </w:r>
      <w:r w:rsidRPr="0054210D">
        <w:rPr>
          <w:rFonts w:ascii="Tahoma" w:hAnsi="Tahoma" w:cs="Tahoma"/>
          <w:sz w:val="24"/>
          <w:szCs w:val="24"/>
          <w:cs/>
        </w:rPr>
        <w:t>และบริษัท เอสซีจี คลีนเนอร์ยี จำกัด (</w:t>
      </w:r>
      <w:r w:rsidRPr="0054210D">
        <w:rPr>
          <w:rFonts w:ascii="Tahoma" w:hAnsi="Tahoma" w:cs="Tahoma"/>
          <w:sz w:val="24"/>
          <w:szCs w:val="24"/>
        </w:rPr>
        <w:t xml:space="preserve">SCG </w:t>
      </w:r>
      <w:proofErr w:type="spellStart"/>
      <w:r w:rsidRPr="0054210D">
        <w:rPr>
          <w:rFonts w:ascii="Tahoma" w:hAnsi="Tahoma" w:cs="Tahoma"/>
          <w:sz w:val="24"/>
          <w:szCs w:val="24"/>
        </w:rPr>
        <w:t>Cleanergy</w:t>
      </w:r>
      <w:proofErr w:type="spellEnd"/>
      <w:r w:rsidRPr="0054210D">
        <w:rPr>
          <w:rFonts w:ascii="Tahoma" w:hAnsi="Tahoma" w:cs="Tahoma"/>
          <w:sz w:val="24"/>
          <w:szCs w:val="24"/>
        </w:rPr>
        <w:t xml:space="preserve">) </w:t>
      </w:r>
      <w:r w:rsidRPr="0054210D">
        <w:rPr>
          <w:rFonts w:ascii="Tahoma" w:hAnsi="Tahoma" w:cs="Tahoma"/>
          <w:sz w:val="24"/>
          <w:szCs w:val="24"/>
          <w:cs/>
        </w:rPr>
        <w:t xml:space="preserve">ทั้งยังพัฒนาระบบซื้อขายไฟฟ้าได้ผ่านแพลตฟอร์ม </w:t>
      </w:r>
      <w:r w:rsidRPr="0054210D">
        <w:rPr>
          <w:rFonts w:ascii="Tahoma" w:hAnsi="Tahoma" w:cs="Tahoma"/>
          <w:sz w:val="24"/>
          <w:szCs w:val="24"/>
        </w:rPr>
        <w:t xml:space="preserve">Smart grid  </w:t>
      </w:r>
      <w:r w:rsidRPr="0054210D">
        <w:rPr>
          <w:rFonts w:ascii="Tahoma" w:hAnsi="Tahoma" w:cs="Tahoma"/>
          <w:sz w:val="24"/>
          <w:szCs w:val="24"/>
          <w:cs/>
        </w:rPr>
        <w:t>มีฐานลูกค้าชั้นนำครอบคลุมทั้งภาครัฐและเอกชน ธุรกิจ</w:t>
      </w:r>
      <w:proofErr w:type="spellStart"/>
      <w:r w:rsidRPr="0054210D">
        <w:rPr>
          <w:rFonts w:ascii="Tahoma" w:hAnsi="Tahoma" w:cs="Tahoma"/>
          <w:sz w:val="24"/>
          <w:szCs w:val="24"/>
          <w:cs/>
        </w:rPr>
        <w:t>โล</w:t>
      </w:r>
      <w:proofErr w:type="spellEnd"/>
      <w:r w:rsidRPr="0054210D">
        <w:rPr>
          <w:rFonts w:ascii="Tahoma" w:hAnsi="Tahoma" w:cs="Tahoma"/>
          <w:sz w:val="24"/>
          <w:szCs w:val="24"/>
          <w:cs/>
        </w:rPr>
        <w:t>จิสติ</w:t>
      </w:r>
      <w:proofErr w:type="spellStart"/>
      <w:r w:rsidRPr="0054210D">
        <w:rPr>
          <w:rFonts w:ascii="Tahoma" w:hAnsi="Tahoma" w:cs="Tahoma"/>
          <w:sz w:val="24"/>
          <w:szCs w:val="24"/>
          <w:cs/>
        </w:rPr>
        <w:t>กส์</w:t>
      </w:r>
      <w:proofErr w:type="spellEnd"/>
      <w:r w:rsidRPr="0054210D">
        <w:rPr>
          <w:rFonts w:ascii="Tahoma" w:hAnsi="Tahoma" w:cs="Tahoma"/>
          <w:sz w:val="24"/>
          <w:szCs w:val="24"/>
          <w:cs/>
        </w:rPr>
        <w:t>ครบวงจรรายใหญ่ในอาเซียน (</w:t>
      </w:r>
      <w:r w:rsidRPr="0054210D">
        <w:rPr>
          <w:rFonts w:ascii="Tahoma" w:hAnsi="Tahoma" w:cs="Tahoma"/>
          <w:sz w:val="24"/>
          <w:szCs w:val="24"/>
        </w:rPr>
        <w:t xml:space="preserve">ASEAN  Logistic) </w:t>
      </w:r>
      <w:r w:rsidRPr="0054210D">
        <w:rPr>
          <w:rFonts w:ascii="Tahoma" w:hAnsi="Tahoma" w:cs="Tahoma"/>
          <w:sz w:val="24"/>
          <w:szCs w:val="24"/>
          <w:cs/>
        </w:rPr>
        <w:t xml:space="preserve">ด้วยบริการที่หลากหลายทั้งบริการคลังสินค้า ระบบห้องเย็น บริการขนส่งสินค้าทั้งทางบก เรือ อากาศ บริการท่าเทียบเรือ และบริการนำเข้า ส่งออกครอบคลุมตั้งแต่ต้นน้ำ ปลายน้ำ ธุรกิจ </w:t>
      </w:r>
      <w:r w:rsidRPr="0054210D">
        <w:rPr>
          <w:rFonts w:ascii="Tahoma" w:hAnsi="Tahoma" w:cs="Tahoma"/>
          <w:sz w:val="24"/>
          <w:szCs w:val="24"/>
        </w:rPr>
        <w:t xml:space="preserve">Smart Living </w:t>
      </w:r>
      <w:r w:rsidRPr="0054210D">
        <w:rPr>
          <w:rFonts w:ascii="Tahoma" w:hAnsi="Tahoma" w:cs="Tahoma"/>
          <w:sz w:val="24"/>
          <w:szCs w:val="24"/>
          <w:cs/>
        </w:rPr>
        <w:t xml:space="preserve">ยกระดับคุณภาพชีวิตให้สะดวก คุ้มค่า ปลอดภัย รักษ์โลก อาทิ นวัตกรรมอัจฉริยะเพื่อคุณภาพอากาศและประหยัดพลังงาน </w:t>
      </w:r>
      <w:r w:rsidRPr="0054210D">
        <w:rPr>
          <w:rFonts w:ascii="Tahoma" w:hAnsi="Tahoma" w:cs="Tahoma"/>
          <w:sz w:val="24"/>
          <w:szCs w:val="24"/>
        </w:rPr>
        <w:t xml:space="preserve">SCG Active AIR Quality  SCG Bi-ion </w:t>
      </w:r>
      <w:r w:rsidRPr="0054210D">
        <w:rPr>
          <w:rFonts w:ascii="Tahoma" w:hAnsi="Tahoma" w:cs="Tahoma"/>
          <w:sz w:val="24"/>
          <w:szCs w:val="24"/>
          <w:cs/>
        </w:rPr>
        <w:t xml:space="preserve">และ </w:t>
      </w:r>
      <w:r w:rsidRPr="0054210D">
        <w:rPr>
          <w:rFonts w:ascii="Tahoma" w:hAnsi="Tahoma" w:cs="Tahoma"/>
          <w:sz w:val="24"/>
          <w:szCs w:val="24"/>
        </w:rPr>
        <w:t xml:space="preserve">SCG HVAC Air Scrubber  </w:t>
      </w:r>
      <w:r w:rsidRPr="0054210D">
        <w:rPr>
          <w:rFonts w:ascii="Tahoma" w:hAnsi="Tahoma" w:cs="Tahoma"/>
          <w:sz w:val="24"/>
          <w:szCs w:val="24"/>
          <w:cs/>
        </w:rPr>
        <w:t xml:space="preserve">โซลูชันจัดการคุณภาพอากาศ กำจัดเชื้อโรค และลดการใช้พลังงานในอาคาร  </w:t>
      </w:r>
      <w:r w:rsidRPr="0054210D">
        <w:rPr>
          <w:rFonts w:ascii="Tahoma" w:hAnsi="Tahoma" w:cs="Tahoma"/>
          <w:sz w:val="24"/>
          <w:szCs w:val="24"/>
        </w:rPr>
        <w:t xml:space="preserve">Trinity IOT Ecosystem </w:t>
      </w:r>
      <w:r w:rsidRPr="0054210D">
        <w:rPr>
          <w:rFonts w:ascii="Tahoma" w:hAnsi="Tahoma" w:cs="Tahoma"/>
          <w:sz w:val="24"/>
          <w:szCs w:val="24"/>
          <w:cs/>
        </w:rPr>
        <w:t xml:space="preserve">เทคโนโลยีควบคุมการเปิด-ปิดนวัตกรรมในบ้านอัจฉริยะ  </w:t>
      </w:r>
      <w:r w:rsidRPr="0054210D">
        <w:rPr>
          <w:rFonts w:ascii="Tahoma" w:hAnsi="Tahoma" w:cs="Tahoma"/>
          <w:sz w:val="24"/>
          <w:szCs w:val="24"/>
        </w:rPr>
        <w:t xml:space="preserve">Wellness Home Hub </w:t>
      </w:r>
      <w:r w:rsidRPr="0054210D">
        <w:rPr>
          <w:rFonts w:ascii="Tahoma" w:hAnsi="Tahoma" w:cs="Tahoma"/>
          <w:sz w:val="24"/>
          <w:szCs w:val="24"/>
          <w:cs/>
        </w:rPr>
        <w:t>เทคโนโลยีวัดค่าสุขภาพของผู้อาศัยในบ้าน หากเกิดเหตุฉุกเฉินจะแจ้งเตือนไปยังโรงพยาบาลได้ทันที</w:t>
      </w:r>
    </w:p>
    <w:p w:rsidR="0054210D" w:rsidRPr="002009BA" w:rsidRDefault="0054210D" w:rsidP="0054210D">
      <w:pPr>
        <w:rPr>
          <w:rFonts w:ascii="Tahoma" w:hAnsi="Tahoma" w:cs="Tahoma"/>
          <w:sz w:val="24"/>
          <w:szCs w:val="24"/>
        </w:rPr>
      </w:pPr>
      <w:r w:rsidRPr="0054210D">
        <w:rPr>
          <w:rFonts w:ascii="Tahoma" w:hAnsi="Tahoma" w:cs="Tahoma"/>
          <w:sz w:val="24"/>
          <w:szCs w:val="24"/>
          <w:cs/>
        </w:rPr>
        <w:t xml:space="preserve">ขณะเดียวกันยังมุ่งลดความเหลื่อมล้ำในสังคม ด้วยการพัฒนาทักษะอาชีพ สร้างรายได้ให้ชุมชนและ </w:t>
      </w:r>
      <w:r w:rsidRPr="0054210D">
        <w:rPr>
          <w:rFonts w:ascii="Tahoma" w:hAnsi="Tahoma" w:cs="Tahoma"/>
          <w:sz w:val="24"/>
          <w:szCs w:val="24"/>
        </w:rPr>
        <w:t xml:space="preserve">SMEs 50,000 </w:t>
      </w:r>
      <w:r w:rsidRPr="0054210D">
        <w:rPr>
          <w:rFonts w:ascii="Tahoma" w:hAnsi="Tahoma" w:cs="Tahoma"/>
          <w:sz w:val="24"/>
          <w:szCs w:val="24"/>
          <w:cs/>
        </w:rPr>
        <w:t xml:space="preserve">คนภายในปี </w:t>
      </w:r>
      <w:r w:rsidRPr="0054210D">
        <w:rPr>
          <w:rFonts w:ascii="Tahoma" w:hAnsi="Tahoma" w:cs="Tahoma"/>
          <w:sz w:val="24"/>
          <w:szCs w:val="24"/>
        </w:rPr>
        <w:t xml:space="preserve">2573 </w:t>
      </w:r>
      <w:r w:rsidRPr="0054210D">
        <w:rPr>
          <w:rFonts w:ascii="Tahoma" w:hAnsi="Tahoma" w:cs="Tahoma"/>
          <w:sz w:val="24"/>
          <w:szCs w:val="24"/>
          <w:cs/>
        </w:rPr>
        <w:t xml:space="preserve">เช่น อาชีพช่างก่อสร้าง พนักงานขับรถบรรทุก การแปรรูปและการขายสินค้าทางออนไลน์ ทั้งยังร่วมมือกับองค์กรต่าง ๆ ทั้งไทย อาเซียนและโลกให้ดำเนินงานด้วย </w:t>
      </w:r>
      <w:r w:rsidRPr="0054210D">
        <w:rPr>
          <w:rFonts w:ascii="Tahoma" w:hAnsi="Tahoma" w:cs="Tahoma"/>
          <w:sz w:val="24"/>
          <w:szCs w:val="24"/>
        </w:rPr>
        <w:t xml:space="preserve">ESG </w:t>
      </w:r>
      <w:r w:rsidRPr="0054210D">
        <w:rPr>
          <w:rFonts w:ascii="Tahoma" w:hAnsi="Tahoma" w:cs="Tahoma"/>
          <w:sz w:val="24"/>
          <w:szCs w:val="24"/>
          <w:cs/>
        </w:rPr>
        <w:t>เพื่อส่งต่อโลกที่ยั่งยืนให้คนรุ่นถัดไป</w:t>
      </w:r>
    </w:p>
    <w:sectPr w:rsidR="0054210D" w:rsidRPr="002009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BA"/>
    <w:rsid w:val="000009DF"/>
    <w:rsid w:val="002009BA"/>
    <w:rsid w:val="0054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CD8E2"/>
  <w15:chartTrackingRefBased/>
  <w15:docId w15:val="{B88AEF92-1787-402F-8D99-E13C6BA0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Boonsak Thienpaprarat</dc:creator>
  <cp:keywords/>
  <dc:description/>
  <cp:lastModifiedBy>Boonsak Thienpaprarat</cp:lastModifiedBy>
  <cp:revision>2</cp:revision>
  <dcterms:created xsi:type="dcterms:W3CDTF">2022-10-30T04:04:00Z</dcterms:created>
  <dcterms:modified xsi:type="dcterms:W3CDTF">2022-10-30T04:04:00Z</dcterms:modified>
</cp:coreProperties>
</file>